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736392c886b74b9d"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62</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Asociația ”GAL TECUCI”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Investiții în infrastructura locală și servicii destinate comunității</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 Observații  </w:t>
            </w:r>
            <w:r>
              <w:rPr>
                <w:rFonts w:ascii="Cambria" w:hAnsi="Cambria"/>
                <w:b w:val="false"/>
                <w:color w:val="FFFFFF"/>
                <w:sz w:val="24"/>
              </w:rPr>
              <w:t>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w:t>
            </w:r>
          </w:p>
        </w:tc>
        <w:tc>
          <w:tcPr>
            <w:vAlign w:val="center"/>
          </w:tcPr>
          <w:p>
            <w:r>
              <w:rPr>
                <w:rFonts w:ascii="Cambria Bold" w:hAnsi="Cambria Bold"/>
                <w:b/>
                <w:color w:val="1B4167"/>
                <w:sz w:val="24"/>
              </w:rPr>
              <w:t>Proiectul vizează acțiuni care îmbunătățesc accesul populației la servicii și infractructura publică locală de bază;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în Cererea de finanțare, Studiul de fezabilitate/ Memoriu justificativ dacă proiectul vizează acțiuni care îmbunătățesc accesul populației la servicii și infractructura publică locală de bază, în conformitate cu lista acțiunilor eligibile din fișa Intervenției nr. 2.</w:t>
            </w:r>
          </w:p>
          <w:p>
            <w:pPr>
              <w:spacing w:line="360" w:lineRule="auto"/>
              <w:ind w:left="0" w:right="0" w:firstLine="493"/>
            </w:pPr>
            <w:r>
              <w:rPr>
                <w:rFonts w:ascii="Cambria" w:hAnsi="Cambria"/>
                <w:b w:val="false"/>
                <w:sz w:val="24"/>
              </w:rPr>
              <w:t>Doc: Cererea de finanțare, Studiul de fezabilitate/ Memoriu justificativ și Fișa intervenției nr. 2 (Anexa 6).</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1B4167"/>
                <w:sz w:val="24"/>
              </w:rPr>
              <w:t>Investiția trebuie să fie în corelare cu SDL și/sau județeană aprobată;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în Cererea de finanțare, Studiul de fezabilitate/ Memoriu justificativ dacă investiția propusă prin proiect este în corelare cu SDL-ul aprobat, adică se află în lista acțiunilor eligibile din fișa Intervenției nr. 2.</w:t>
            </w:r>
          </w:p>
          <w:p>
            <w:pPr>
              <w:spacing w:line="360" w:lineRule="auto"/>
              <w:ind w:left="0" w:right="0" w:firstLine="493"/>
            </w:pPr>
            <w:r>
              <w:rPr>
                <w:rFonts w:ascii="Cambria" w:hAnsi="Cambria"/>
                <w:b w:val="false"/>
                <w:sz w:val="24"/>
              </w:rPr>
              <w:t>Se verifică în Hotărârea Consiliului Local/ Hotărârile de Consiliu Local (în cazul ADI) pentru implementarea proiectului (Anexa 5) dacă conține referirea privind încadrarea proiectului propus în Strategia de Dezvoltare a localității aprobată prin HCL.</w:t>
            </w:r>
          </w:p>
          <w:p>
            <w:pPr>
              <w:spacing w:line="360" w:lineRule="auto"/>
              <w:ind w:left="0" w:right="0" w:firstLine="493"/>
            </w:pPr>
            <w:r>
              <w:rPr>
                <w:rFonts w:ascii="Cambria" w:hAnsi="Cambria"/>
                <w:b w:val="false"/>
                <w:sz w:val="24"/>
              </w:rPr>
              <w:t>Doc: Cererea de finanțare, Studiul de fezabilitate/ Memoriu justificativ și HCL privind implementarea proiectului (Anexa 5).</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w:t>
            </w:r>
          </w:p>
        </w:tc>
        <w:tc>
          <w:tcPr>
            <w:vAlign w:val="center"/>
          </w:tcPr>
          <w:p>
            <w:r>
              <w:rPr>
                <w:rFonts w:ascii="Cambria Bold" w:hAnsi="Cambria Bold"/>
                <w:b/>
                <w:color w:val="1B4167"/>
                <w:sz w:val="24"/>
              </w:rPr>
              <w:t>Investiția va demonstra necesitatea, oportunitatea și potențialul economic al acesteia precum și măsura în care contribuie la atingerea nevoilor identificate la nivelul SDL;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în Cererea de finanțare/Studiul de fezabilitate/ Memoriul justificativ/Documentația de Avizare a Lucrărilor de Intervenție s-a demonstrat necesitatea, oportunitatea și potențialul economic al acesteia precum și măsura în care contribuie la atingerea nevoilor identificate la nivelul SDL.</w:t>
            </w:r>
          </w:p>
          <w:p>
            <w:pPr>
              <w:spacing w:line="360" w:lineRule="auto"/>
              <w:ind w:left="0" w:right="0" w:firstLine="493"/>
            </w:pPr>
            <w:r>
              <w:rPr>
                <w:rFonts w:ascii="Cambria" w:hAnsi="Cambria"/>
                <w:b w:val="false"/>
                <w:sz w:val="24"/>
              </w:rPr>
              <w:t>Se verifică în Hotărârea Consiliului Local/ Hotărârile de Consiliu Local (în cazul ADI) pentru implementarea proiectului (Anexa 5) dacă conține referirea la necesitatea, oportunitatea și potențialul economic al investiției.</w:t>
            </w:r>
          </w:p>
          <w:p>
            <w:pPr>
              <w:spacing w:line="360" w:lineRule="auto"/>
              <w:ind w:left="0" w:right="0" w:firstLine="493"/>
            </w:pPr>
            <w:r>
              <w:rPr>
                <w:rFonts w:ascii="Cambria" w:hAnsi="Cambria"/>
                <w:b w:val="false"/>
                <w:sz w:val="24"/>
              </w:rPr>
              <w:t>În cazul în care se constată că același beneficiar are depuse în alte sesiuni anterioare mai multe proiecte pentru același tip de investiție care vizează infrastructura socială/educațională expertul solicită clarificări suplimentare care să demonstreze necesitatea și oportunitatea realizării investiției.</w:t>
            </w:r>
          </w:p>
          <w:p>
            <w:pPr>
              <w:spacing w:line="360" w:lineRule="auto"/>
              <w:ind w:left="0" w:right="0" w:firstLine="493"/>
            </w:pPr>
            <w:r>
              <w:rPr>
                <w:rFonts w:ascii="Cambria Bold" w:hAnsi="Cambria Bold"/>
                <w:b/>
                <w:sz w:val="24"/>
              </w:rPr>
              <w:t>Doc:</w:t>
            </w:r>
            <w:r>
              <w:rPr>
                <w:rFonts w:ascii="Cambria" w:hAnsi="Cambria"/>
                <w:b w:val="false"/>
                <w:sz w:val="24"/>
              </w:rPr>
              <w:t>  Cererea de finanțare/SF/MJ/DALI și Hotărârea Consiliului Local/Consiliilor Locale privind implementarea proiectului (Anexa 5).</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w:t>
            </w:r>
          </w:p>
        </w:tc>
        <w:tc>
          <w:tcPr>
            <w:vAlign w:val="center"/>
          </w:tcPr>
          <w:p>
            <w:r>
              <w:rPr>
                <w:rFonts w:ascii="Cambria Bold" w:hAnsi="Cambria Bold"/>
                <w:b/>
                <w:color w:val="1B4167"/>
                <w:sz w:val="24"/>
              </w:rPr>
              <w:t>Solicitantul se angajează să asigure întreținerea/mentenanța investiției pe o perioadă de minim 3 ani (5 ani pentru proiectele care prevăd Construcții - montaj) de la finalizarea ultimei cereri de plată;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Criteriul se considera indeplinit dacă solicitantul a depus Hotărârea</w:t>
            </w:r>
          </w:p>
          <w:p>
            <w:pPr>
              <w:spacing w:line="360" w:lineRule="auto"/>
              <w:ind w:left="0" w:right="0" w:firstLine="493"/>
            </w:pPr>
            <w:r>
              <w:rPr>
                <w:rFonts w:ascii="Cambria" w:hAnsi="Cambria"/>
                <w:b w:val="false"/>
                <w:sz w:val="24"/>
              </w:rPr>
              <w:t>Consiliului Local/Consiliilor locale pentru implementarea proiectului (Anexa 5), cu referire la următoarele puncte obligatorii:</w:t>
            </w:r>
          </w:p>
          <w:p>
            <w:pPr>
              <w:spacing w:line="360" w:lineRule="auto"/>
              <w:ind w:left="0" w:right="0" w:firstLine="493"/>
            </w:pPr>
            <w:r>
              <w:rPr>
                <w:rFonts w:ascii="Cambria" w:hAnsi="Cambria"/>
                <w:b w:val="false"/>
                <w:sz w:val="24"/>
              </w:rPr>
              <w:t>• necesitatea şi oportunitatea investiţiei;</w:t>
            </w:r>
          </w:p>
          <w:p>
            <w:pPr>
              <w:spacing w:line="360" w:lineRule="auto"/>
              <w:ind w:left="0" w:right="0" w:firstLine="493"/>
            </w:pPr>
            <w:r>
              <w:rPr>
                <w:rFonts w:ascii="Cambria" w:hAnsi="Cambria"/>
                <w:b w:val="false"/>
                <w:sz w:val="24"/>
              </w:rPr>
              <w:t>• cheltuielile aferente priectului sunt prevăzute în bugetul/bugetele local/e pentru perioada de realizare a investiţiei;</w:t>
            </w:r>
          </w:p>
          <w:p>
            <w:pPr>
              <w:spacing w:line="360" w:lineRule="auto"/>
              <w:ind w:left="0" w:right="0" w:firstLine="493"/>
            </w:pPr>
            <w:r>
              <w:rPr>
                <w:rFonts w:ascii="Cambria" w:hAnsi="Cambria"/>
                <w:b w:val="false"/>
                <w:sz w:val="24"/>
              </w:rPr>
              <w:t>• angajamentul de a suporta cheltuielile de întreţinere şi / sau</w:t>
            </w:r>
          </w:p>
          <w:p>
            <w:pPr>
              <w:spacing w:line="360" w:lineRule="auto"/>
              <w:ind w:left="0" w:right="0" w:firstLine="493"/>
            </w:pPr>
            <w:r>
              <w:rPr>
                <w:rFonts w:ascii="Cambria" w:hAnsi="Cambria"/>
                <w:b w:val="false"/>
                <w:sz w:val="24"/>
              </w:rPr>
              <w:t>reparare a investiţiei pe o perioadă de minimum 5 ani de la</w:t>
            </w:r>
          </w:p>
          <w:p>
            <w:pPr>
              <w:spacing w:line="360" w:lineRule="auto"/>
              <w:ind w:left="0" w:right="0" w:firstLine="493"/>
            </w:pPr>
            <w:r>
              <w:rPr>
                <w:rFonts w:ascii="Cambria" w:hAnsi="Cambria"/>
                <w:b w:val="false"/>
                <w:sz w:val="24"/>
              </w:rPr>
              <w:t>data efectuării ultimei plăți;</w:t>
            </w:r>
          </w:p>
          <w:p>
            <w:pPr>
              <w:spacing w:line="360" w:lineRule="auto"/>
              <w:ind w:left="0" w:right="0" w:firstLine="493"/>
            </w:pPr>
            <w:r>
              <w:rPr>
                <w:rFonts w:ascii="Cambria" w:hAnsi="Cambria"/>
                <w:b w:val="false"/>
                <w:sz w:val="24"/>
              </w:rPr>
              <w:t>• angajamentul că proiectul nu va fi generator de venit</w:t>
            </w:r>
          </w:p>
          <w:p>
            <w:pPr>
              <w:spacing w:line="360" w:lineRule="auto"/>
              <w:ind w:left="0" w:right="0" w:firstLine="493"/>
            </w:pPr>
            <w:r>
              <w:rPr>
                <w:rFonts w:ascii="Cambria" w:hAnsi="Cambria"/>
                <w:b w:val="false"/>
                <w:sz w:val="24"/>
              </w:rPr>
              <w:t>• nominalizarea reprezentantului legal al comunei pentru relaţia cu</w:t>
            </w:r>
          </w:p>
          <w:p>
            <w:pPr>
              <w:spacing w:line="360" w:lineRule="auto"/>
              <w:ind w:left="0" w:right="0" w:firstLine="493"/>
            </w:pPr>
            <w:r>
              <w:rPr>
                <w:rFonts w:ascii="Cambria" w:hAnsi="Cambria"/>
                <w:b w:val="false"/>
                <w:sz w:val="24"/>
              </w:rPr>
              <w:t>AFIR în derularea proiectului</w:t>
            </w:r>
          </w:p>
          <w:p>
            <w:pPr>
              <w:spacing w:line="360" w:lineRule="auto"/>
              <w:ind w:left="0" w:right="0" w:firstLine="493"/>
            </w:pPr>
            <w:r>
              <w:rPr>
                <w:rFonts w:ascii="Cambria Bold" w:hAnsi="Cambria Bold"/>
                <w:b/>
                <w:sz w:val="24"/>
              </w:rPr>
              <w:t>Doc:</w:t>
            </w:r>
            <w:r>
              <w:rPr>
                <w:rFonts w:ascii="Cambria" w:hAnsi="Cambria"/>
                <w:b w:val="false"/>
                <w:sz w:val="24"/>
              </w:rPr>
              <w:t>  Hotărârea Consiliului Local /Consiliilor locale pentru implementarea proiectului (Anexa 5).</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w:t>
            </w:r>
          </w:p>
        </w:tc>
        <w:tc>
          <w:tcPr>
            <w:vAlign w:val="center"/>
          </w:tcPr>
          <w:p>
            <w:r>
              <w:rPr>
                <w:rFonts w:ascii="Cambria Bold" w:hAnsi="Cambria Bold"/>
                <w:b/>
                <w:color w:val="1B4167"/>
                <w:sz w:val="24"/>
              </w:rPr>
              <w:t>Beneficiarul se încadrează în categoria beneficiarilor eligibili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conformitatea informațiilor menționate în Cererea definanțare cu informațiile din documentele prezentate, în funcție decategoria de beneficiari: Autorități publice locale, ADI, Consorții administrative, Asociații și fundații, Parteneriat informal care va fi compus din minim doi parteneri din categoriile menționate în cadrul secțiunii beneficiarilor eligibili, respectiv Grup de Acțiune Locală.</w:t>
            </w:r>
            <w:r>
              <w:rPr>
                <w:rFonts w:ascii="Cambria Bold" w:hAnsi="Cambria Bold"/>
                <w:b/>
                <w:sz w:val="24"/>
              </w:rPr>
              <w:t>Doc:</w:t>
            </w:r>
            <w:r>
              <w:rPr>
                <w:rFonts w:ascii="Cambria" w:hAnsi="Cambria"/>
                <w:b w:val="false"/>
                <w:sz w:val="24"/>
              </w:rPr>
              <w:t>  Cererea de finanțare, Certificat de Înregistrare Fiscală/ Act înființare și statut ADI, HCL desemnare reprezentant legal.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w:t>
            </w:r>
          </w:p>
        </w:tc>
        <w:tc>
          <w:tcPr>
            <w:vAlign w:val="center"/>
          </w:tcPr>
          <w:p>
            <w:r>
              <w:rPr>
                <w:rFonts w:ascii="Cambria Bold" w:hAnsi="Cambria Bold"/>
                <w:b/>
                <w:color w:val="1B4167"/>
                <w:sz w:val="24"/>
              </w:rPr>
              <w:t>Beneficiarul să nu fie în insolvență sau incapacitate de plată</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beneficiarul se află în insolvență sau incapacitate de plată.</w:t>
            </w:r>
          </w:p>
          <w:p>
            <w:pPr>
              <w:spacing w:line="360" w:lineRule="auto"/>
              <w:ind w:left="0" w:right="0" w:firstLine="493"/>
            </w:pPr>
            <w:r>
              <w:rPr>
                <w:rFonts w:ascii="Cambria" w:hAnsi="Cambria"/>
                <w:b w:val="false"/>
                <w:sz w:val="24"/>
              </w:rPr>
              <w:t>Doc: certificat fiscal.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7</w:t>
            </w:r>
          </w:p>
        </w:tc>
        <w:tc>
          <w:tcPr>
            <w:vAlign w:val="center"/>
          </w:tcPr>
          <w:p>
            <w:r>
              <w:rPr>
                <w:rFonts w:ascii="Cambria Bold" w:hAnsi="Cambria Bold"/>
                <w:b/>
                <w:color w:val="1B4167"/>
                <w:sz w:val="24"/>
              </w:rPr>
              <w:t>Beneficiarul să aibă sediul social și/sau punctul de lucru în teritoriul Asociației GAL Tecuci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beneficiarul are sediul social și/sau punctul de lucru într-un UAT care se află pe teritoriul GAL Tecuci. Se verifică dacă informațiile privind sediul social și/sau punctul de lucru al beneficiarului menționate în Cererea de finanțare corespund cu cele menționate în documentele justificative, în funcție de categoria de beneficiari.</w:t>
            </w:r>
          </w:p>
          <w:p>
            <w:r>
              <w:rPr>
                <w:rFonts w:ascii="Cambria" w:hAnsi="Cambria"/>
                <w:b w:val="false"/>
                <w:sz w:val="24"/>
              </w:rPr>
              <w:t>Doc: Cererea de finanțare, CIF/ Act înființare și statut/Lista UAT-urilor din Anexa 4.</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8</w:t>
            </w:r>
          </w:p>
        </w:tc>
        <w:tc>
          <w:tcPr>
            <w:vAlign w:val="center"/>
          </w:tcPr>
          <w:p>
            <w:r>
              <w:rPr>
                <w:rFonts w:ascii="Cambria Bold" w:hAnsi="Cambria Bold"/>
                <w:b/>
                <w:color w:val="1B4167"/>
                <w:sz w:val="24"/>
              </w:rPr>
              <w:t>Investiția să se încadreze în tipul de sprijin prevăzut prin intervenție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dacă modelul de cerere de finanțare folosit este adaptat pentru tipul de sprijin prevăzut prin intervenție: rambursarea costurilor eligibile efectiv suportate de către beneficiar. Se verifică dacă solicitantul a completat secțiunea din cererea de finanțare cu explicația privind tipul de sprijin.Doc: Cererea de finanțare.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9</w:t>
            </w:r>
          </w:p>
        </w:tc>
        <w:tc>
          <w:tcPr>
            <w:vAlign w:val="center"/>
          </w:tcPr>
          <w:p>
            <w:r>
              <w:rPr>
                <w:rFonts w:ascii="Cambria Bold" w:hAnsi="Cambria Bold"/>
                <w:b/>
                <w:color w:val="1B4167"/>
                <w:sz w:val="24"/>
              </w:rPr>
              <w:t>Beneficiarul va respecta condițiile de eligibilitate și selecție pe toată perioada de monitorizare care va fi de minim 3 ani de ultima tranșă de plată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Criteriul se consideră îndeplinit dacă solicitantul și-a însușit prinsemnătură prevederile punctului 2 din Declarația F din Cererea definanțare.Doc: Cererea de finanțare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10</w:t>
            </w:r>
          </w:p>
        </w:tc>
        <w:tc>
          <w:tcPr>
            <w:vAlign w:val="center"/>
          </w:tcPr>
          <w:p>
            <w:r>
              <w:rPr>
                <w:rFonts w:ascii="Cambria Bold" w:hAnsi="Cambria Bold"/>
                <w:b/>
                <w:color w:val="1B4167"/>
                <w:sz w:val="24"/>
              </w:rPr>
              <w:t>Solicitarea de finanțare se încadrează în valoarea maximă a sprijinului specificată în fișa intervenției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Criteriul se consideră îndeplinit dacă valoarea eligibilă a proiectuluispecificată în Cererea de finanțare nu depășește valoarea maximă de100.000 euro. Această valoare, prevăzută în prezentul ghid la secțiuneaprivind valoarea maximă a unui proiect, este mai mică decât valoareamaximă a sprijinului specificată în fișa intervenției.Doc: Cererea de finanțare, Fișa intervenției nr. 2 (Anexa 6).</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11</w:t>
            </w:r>
          </w:p>
        </w:tc>
        <w:tc>
          <w:tcPr>
            <w:vAlign w:val="center"/>
          </w:tcPr>
          <w:p>
            <w:r>
              <w:rPr>
                <w:rFonts w:ascii="Cambria Bold" w:hAnsi="Cambria Bold"/>
                <w:b/>
                <w:color w:val="1B4167"/>
                <w:sz w:val="24"/>
              </w:rPr>
              <w:t>În cazul investițiilor finanțate prin SDL rata maximă a sprijinului se limitează la 100% în cazul investițiilor neproductive (care nu generează avantaj economic)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Criteriul se consideră îndeplinit dacă rata sprijinului prevăzută în Cererea de finanțare este limitată la 100% din valoarea cheltuielilor eligibile.Această valoare este stipulată și în secțiunea privind valoarea maximă a a unui proiect.Doc: Cererea de finanțare.</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p>
          <w:p>
            <w:pPr>
              <w:spacing w:line="360" w:lineRule="auto"/>
              <w:ind w:left="0" w:right="0" w:firstLine="493"/>
            </w:pPr>
            <w:r>
              <w:rPr>
                <w:rFonts w:ascii="Cambria Bold" w:hAnsi="Cambria Bold"/>
                <w:b/>
                <w:color w:val="014935"/>
                <w:sz w:val="24"/>
              </w:rPr>
              <w:t>Principiul prioritizării proiectelor care promovează energia durabila și/sau contribuie la atenuarea schimbărilor climatice și la adaptarea la acestea;</w:t>
            </w:r>
          </w:p>
          <w:p>
            <w:pPr>
              <w:spacing w:line="360" w:lineRule="auto"/>
              <w:ind w:left="0" w:right="0" w:firstLine="493"/>
            </w:pPr>
            <w:r>
              <w:rPr>
                <w:rFonts w:ascii="Cambria Bold" w:hAnsi="Cambria Bold"/>
                <w:b/>
                <w:color w:val="014935"/>
                <w:sz w:val="24"/>
              </w:rPr>
              <w:t>Notă: Punctajul va fi obținut prin cumularea CS1.1 și CS1.2.</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1.1</w:t>
            </w:r>
          </w:p>
        </w:tc>
        <w:tc>
          <w:tcPr>
            <w:shd w:val="clear" w:color="auto" w:fill="F8ECD2"/>
            <w:vAlign w:val="center"/>
          </w:tcPr>
          <w:p>
            <w:r>
              <w:rPr>
                <w:rFonts w:ascii="Cambria" w:hAnsi="Cambria"/>
                <w:b w:val="false"/>
                <w:color w:val="58400C"/>
                <w:sz w:val="24"/>
              </w:rPr>
              <w:t>Proiecte care promovează energia durabilă</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dacă în Cererea de finanțare și/sau SF/MJ solicitantul demonstrează că promovează energia durabilă prin acțiuni de sensibilizare, informare și conștientizare a populației din teritoriul GAL.</w:t>
            </w:r>
          </w:p>
          <w:p>
            <w:pPr>
              <w:spacing w:line="360" w:lineRule="auto"/>
              <w:ind w:left="0" w:right="0" w:firstLine="493"/>
            </w:pPr>
            <w:r>
              <w:rPr>
                <w:rFonts w:ascii="Cambria" w:hAnsi="Cambria"/>
                <w:b w:val="false"/>
                <w:sz w:val="24"/>
              </w:rPr>
              <w:t>Dacă în urma verificării se constată condiția îndeplinită, atunci proiectul va fi punctat cu 15 puncte.</w:t>
            </w:r>
          </w:p>
          <w:p>
            <w:pPr>
              <w:spacing w:line="360" w:lineRule="auto"/>
              <w:ind w:left="0" w:right="0" w:firstLine="493"/>
            </w:pPr>
            <w:r>
              <w:rPr>
                <w:rFonts w:ascii="Cambria Bold" w:hAnsi="Cambria Bold"/>
                <w:b/>
                <w:sz w:val="24"/>
              </w:rPr>
              <w:t>Doc:</w:t>
            </w:r>
            <w:r>
              <w:rPr>
                <w:rFonts w:ascii="Cambria" w:hAnsi="Cambria"/>
                <w:b w:val="false"/>
                <w:sz w:val="24"/>
              </w:rPr>
              <w:t> CF și/sau SF/MJ</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1.2</w:t>
            </w:r>
          </w:p>
        </w:tc>
        <w:tc>
          <w:tcPr>
            <w:shd w:val="clear" w:color="auto" w:fill="F8ECD2"/>
            <w:vAlign w:val="center"/>
          </w:tcPr>
          <w:p>
            <w:r>
              <w:rPr>
                <w:rFonts w:ascii="Cambria" w:hAnsi="Cambria"/>
                <w:b w:val="false"/>
                <w:color w:val="58400C"/>
                <w:sz w:val="24"/>
              </w:rPr>
              <w:t>Proiecte care contribuie la atenuarea schimbărilor climatice și la adaptarea la acestea</w:t>
            </w:r>
          </w:p>
        </w:tc>
        <w:tc>
          <w:tcPr>
            <w:vAlign w:val="center"/>
          </w:tcPr>
          <w:p>
            <w:pPr>
              <w:keepNext/>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dacă în Cererea de finanțare și/sau SF/MJ solicitantul promovează acțiuni care contribuie la atenuarea schimbărilor climatice și la adaptarea la acestea, cum ar fi:</w:t>
            </w:r>
          </w:p>
          <w:p>
            <w:pPr>
              <w:spacing w:line="360" w:lineRule="auto"/>
              <w:ind w:left="0" w:right="0" w:firstLine="493"/>
            </w:pPr>
            <w:r>
              <w:rPr>
                <w:rFonts w:ascii="Cambria" w:hAnsi="Cambria"/>
                <w:b w:val="false"/>
                <w:sz w:val="24"/>
              </w:rPr>
              <w:t>- lucrări de eficiență energetică a clădirilor;</w:t>
            </w:r>
          </w:p>
          <w:p>
            <w:pPr>
              <w:spacing w:line="360" w:lineRule="auto"/>
              <w:ind w:left="0" w:right="0" w:firstLine="493"/>
            </w:pPr>
            <w:r>
              <w:rPr>
                <w:rFonts w:ascii="Cambria" w:hAnsi="Cambria"/>
                <w:b w:val="false"/>
                <w:sz w:val="24"/>
              </w:rPr>
              <w:t>- investiții în economisirea energiei (înlocuirea unor mari consumatori de energie cu consumatori care au1 consum redus de energie);</w:t>
            </w:r>
          </w:p>
          <w:p>
            <w:pPr>
              <w:spacing w:line="360" w:lineRule="auto"/>
              <w:ind w:left="0" w:right="0" w:firstLine="493"/>
            </w:pPr>
            <w:r>
              <w:rPr>
                <w:rFonts w:ascii="Cambria" w:hAnsi="Cambria"/>
                <w:b w:val="false"/>
                <w:sz w:val="24"/>
              </w:rPr>
              <w:t>- înființarea/extinderea parcurilor și a spațiilor verzi; </w:t>
            </w:r>
          </w:p>
          <w:p>
            <w:pPr>
              <w:spacing w:line="360" w:lineRule="auto"/>
              <w:ind w:left="0" w:right="0" w:firstLine="493"/>
            </w:pPr>
            <w:r>
              <w:rPr>
                <w:rFonts w:ascii="Cambria" w:hAnsi="Cambria"/>
                <w:b w:val="false"/>
                <w:sz w:val="24"/>
              </w:rPr>
              <w:t>Dacă în urma verificării se constată condiția îndeplinită, atunci proiectul va fi punctat cu 25 puncte.</w:t>
            </w:r>
          </w:p>
          <w:p>
            <w:pPr>
              <w:spacing w:line="360" w:lineRule="auto"/>
              <w:ind w:left="0" w:right="0" w:firstLine="493"/>
            </w:pPr>
            <w:r>
              <w:rPr>
                <w:rFonts w:ascii="Cambria Bold" w:hAnsi="Cambria Bold"/>
                <w:b/>
                <w:sz w:val="24"/>
              </w:rPr>
              <w:t>Doc:</w:t>
            </w:r>
            <w:r>
              <w:rPr>
                <w:rFonts w:ascii="Cambria" w:hAnsi="Cambria"/>
                <w:b w:val="false"/>
                <w:sz w:val="24"/>
              </w:rPr>
              <w:t>  CF și/sau SF/MJ</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p>
          <w:p>
            <w:pPr>
              <w:spacing w:line="360" w:lineRule="auto"/>
              <w:ind w:left="0" w:right="0" w:firstLine="493"/>
            </w:pPr>
            <w:r>
              <w:rPr>
                <w:rFonts w:ascii="Cambria Bold" w:hAnsi="Cambria Bold"/>
                <w:b/>
                <w:color w:val="014935"/>
                <w:sz w:val="24"/>
              </w:rPr>
              <w:t>Principiul prioritizării proiectelor realizate în parteneriat;</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2.1</w:t>
            </w:r>
          </w:p>
        </w:tc>
        <w:tc>
          <w:tcPr>
            <w:shd w:val="clear" w:color="auto" w:fill="F8ECD2"/>
            <w:vAlign w:val="center"/>
          </w:tcPr>
          <w:p>
            <w:r>
              <w:rPr>
                <w:rFonts w:ascii="Cambria" w:hAnsi="Cambria"/>
                <w:b w:val="false"/>
                <w:color w:val="58400C"/>
                <w:sz w:val="24"/>
              </w:rPr>
              <w:t>Proiecte realizate în parteneriat</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dacă beneficiarul proiectului este Asociație de Dezvoltare Intercomunitară (ADI), Consorțiu administrativ sau parteneriat informal. Dacă în urma verificării se constată condiția îndeplinită, atunci proiectul va fi punctat cu 20 puncte.</w:t>
            </w:r>
          </w:p>
          <w:p>
            <w:pPr>
              <w:spacing w:line="360" w:lineRule="auto"/>
              <w:ind w:left="0" w:right="0" w:firstLine="493"/>
            </w:pPr>
            <w:r>
              <w:rPr>
                <w:rFonts w:ascii="Cambria Bold" w:hAnsi="Cambria Bold"/>
                <w:b/>
                <w:sz w:val="24"/>
              </w:rPr>
              <w:t>Doc:</w:t>
            </w:r>
            <w:r>
              <w:rPr>
                <w:rFonts w:ascii="Cambria" w:hAnsi="Cambria"/>
                <w:b w:val="false"/>
                <w:sz w:val="24"/>
              </w:rPr>
              <w:t> documentele juridice de înființare a entității.</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Proiecte ale căror acțiuni vizează utilizarea resurselor de energie regenerabilă;</w:t>
            </w:r>
          </w:p>
        </w:tc>
        <w:tc>
          <w:tcPr>
            <w:shd w:val="clear" w:color="auto" w:fill="CCE1DB"/>
            <w:vAlign w:val="center"/>
          </w:tcPr>
          <w:p>
            <w:pPr>
              <w:spacing w:line="360" w:lineRule="auto"/>
              <w:ind w:left="0" w:right="0" w:firstLine="493"/>
            </w:pPr>
            <w:r>
              <w:rPr>
                <w:rFonts w:ascii="Cambria Bold" w:hAnsi="Cambria Bold"/>
                <w:b/>
                <w:color w:val="014935"/>
                <w:sz w:val="24"/>
              </w:rPr>
              <w:t>15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3.1</w:t>
            </w:r>
          </w:p>
        </w:tc>
        <w:tc>
          <w:tcPr>
            <w:shd w:val="clear" w:color="auto" w:fill="F8ECD2"/>
            <w:vAlign w:val="center"/>
          </w:tcPr>
          <w:p>
            <w:r>
              <w:rPr>
                <w:rFonts w:ascii="Cambria" w:hAnsi="Cambria"/>
                <w:b w:val="false"/>
                <w:color w:val="58400C"/>
                <w:sz w:val="24"/>
              </w:rPr>
              <w:t>Proiecte ale căror acțiuni vizează utilizarea resurselor de energie regenerabilă; </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dacă în Cererea de finanțare în bugetul indicativ și/sau SF/MJ solicitantul și-a propus achiziția de echipamente și instalații de producere de energie electrică din surse de energie regenerabilă (energie solară, eoliană, hidraulică, geotermică, biomasă).  De asemenea, se verifică în SF/MJ dacă solicitantul și-a propus ca energia produsă din surse de energie regenerabilă să fie folosită în interesul comunității.</w:t>
            </w:r>
          </w:p>
          <w:p>
            <w:pPr>
              <w:spacing w:line="360" w:lineRule="auto"/>
              <w:ind w:left="0" w:right="0" w:firstLine="493"/>
            </w:pPr>
            <w:r>
              <w:rPr>
                <w:rFonts w:ascii="Cambria" w:hAnsi="Cambria"/>
                <w:b w:val="false"/>
                <w:sz w:val="24"/>
              </w:rPr>
              <w:t>Dacă proiectul vizează acțiuni privind utilizarea resurselor de energie regenerabilă, atunci i se atribuie 15 puncte.</w:t>
            </w:r>
          </w:p>
          <w:p>
            <w:pPr>
              <w:spacing w:line="360" w:lineRule="auto"/>
              <w:ind w:left="0" w:right="0" w:firstLine="493"/>
            </w:pPr>
            <w:r>
              <w:rPr>
                <w:rFonts w:ascii="Cambria Bold" w:hAnsi="Cambria Bold"/>
                <w:b/>
                <w:sz w:val="24"/>
              </w:rPr>
              <w:t>Doc:</w:t>
            </w:r>
            <w:r>
              <w:rPr>
                <w:rFonts w:ascii="Cambria" w:hAnsi="Cambria"/>
                <w:b w:val="false"/>
                <w:sz w:val="24"/>
              </w:rPr>
              <w:t>  CF și/sau SF/MJ</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p>
          <w:p>
            <w:pPr>
              <w:spacing w:line="360" w:lineRule="auto"/>
              <w:ind w:left="0" w:right="0" w:firstLine="493"/>
            </w:pPr>
            <w:r>
              <w:rPr>
                <w:rFonts w:ascii="Cambria Bold" w:hAnsi="Cambria Bold"/>
                <w:b/>
                <w:color w:val="014935"/>
                <w:sz w:val="24"/>
              </w:rPr>
              <w:t>Principiul prioritizării proiectelor în funcție de populația deservită - numărul de locuitori la nivel de UAT, în care se realizează investiția, din care numărul de tineri și femei, antreprenori locali care beneficiază de servicii, infrastructură îmbunătățită;</w:t>
            </w:r>
          </w:p>
          <w:p>
            <w:pPr>
              <w:spacing w:line="360" w:lineRule="auto"/>
              <w:ind w:left="0" w:right="0" w:firstLine="493"/>
            </w:pPr>
            <w:r>
              <w:rPr>
                <w:rFonts w:ascii="Cambria Bold" w:hAnsi="Cambria Bold"/>
                <w:b/>
                <w:color w:val="014935"/>
                <w:sz w:val="24"/>
              </w:rPr>
              <w:t>Notă: Punctajul va fi obținut prin cumularea CS4.1 și CS4.2.</w:t>
            </w:r>
          </w:p>
        </w:tc>
        <w:tc>
          <w:tcPr>
            <w:shd w:val="clear" w:color="auto" w:fill="CCE1DB"/>
            <w:vAlign w:val="center"/>
          </w:tcPr>
          <w:p>
            <w:pPr>
              <w:spacing w:line="360" w:lineRule="auto"/>
              <w:ind w:left="0" w:right="0" w:firstLine="493"/>
            </w:pPr>
            <w:r>
              <w:rPr>
                <w:rFonts w:ascii="Cambria Bold" w:hAnsi="Cambria Bold"/>
                <w:b/>
                <w:color w:val="014935"/>
                <w:sz w:val="24"/>
              </w:rPr>
              <w:t>25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4.1</w:t>
            </w:r>
          </w:p>
        </w:tc>
        <w:tc>
          <w:tcPr>
            <w:shd w:val="clear" w:color="auto" w:fill="F8ECD2"/>
            <w:vAlign w:val="center"/>
          </w:tcPr>
          <w:p>
            <w:r>
              <w:rPr>
                <w:rFonts w:ascii="Cambria" w:hAnsi="Cambria"/>
                <w:b w:val="false"/>
                <w:color w:val="58400C"/>
                <w:sz w:val="24"/>
              </w:rPr>
              <w:t>Proiecte care deservesc o populație locală mai mare de 2.000 locuitori</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în CF și/sau SF/MJ dacă proiectul se implementează într-un UAT sau mai multe UAT-uri care împreună au o populație mai mare de 2.000 locuitori, conform Anexei privind populația la nivel GAL. Dacă populația înregistrată este mai mare de 2.000 locuitori atunci proiectului i se atribuie 15 puncte.</w:t>
            </w:r>
          </w:p>
          <w:p>
            <w:pPr>
              <w:spacing w:line="360" w:lineRule="auto"/>
              <w:ind w:left="0" w:right="0" w:firstLine="493"/>
            </w:pPr>
            <w:r>
              <w:rPr>
                <w:rFonts w:ascii="Cambria Bold" w:hAnsi="Cambria Bold"/>
                <w:b/>
                <w:sz w:val="24"/>
              </w:rPr>
              <w:t>Doc:</w:t>
            </w:r>
            <w:r>
              <w:rPr>
                <w:rFonts w:ascii="Cambria" w:hAnsi="Cambria"/>
                <w:b w:val="false"/>
                <w:sz w:val="24"/>
              </w:rPr>
              <w:t>  CF și/sau SF/MJ, respectiv Anexa privind populația la nivel GAL.</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4.2</w:t>
            </w:r>
          </w:p>
        </w:tc>
        <w:tc>
          <w:tcPr>
            <w:shd w:val="clear" w:color="auto" w:fill="F8ECD2"/>
            <w:vAlign w:val="center"/>
          </w:tcPr>
          <w:p>
            <w:r>
              <w:rPr>
                <w:rFonts w:ascii="Cambria" w:hAnsi="Cambria"/>
                <w:b w:val="false"/>
                <w:color w:val="58400C"/>
                <w:sz w:val="24"/>
              </w:rPr>
              <w:t>Proiecte care deservesc un număr mai mare de 10 antreprenori locali tineri (sub 30 ani) și/sau femei care beneficiază de servicii și/sau infrastructură îmbunătățită</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în CF și/sau SF/MJ dacă proiectul se implementează într-un UAT sau mai multe UAT-uri care împreună deservesc un număr mai mare de 10 antreprenori locali tineri (sub 30 ani) și/sau femei care beneficiază de servicii și/sau infrastructură îmbunătățită, conform datelor din documentul justificativ emis de Primărie.</w:t>
            </w:r>
          </w:p>
          <w:p>
            <w:pPr>
              <w:spacing w:line="360" w:lineRule="auto"/>
              <w:ind w:left="0" w:right="0" w:firstLine="493"/>
            </w:pPr>
            <w:r>
              <w:rPr>
                <w:rFonts w:ascii="Cambria" w:hAnsi="Cambria"/>
                <w:b w:val="false"/>
                <w:sz w:val="24"/>
              </w:rPr>
              <w:t>Dacă numărul de antreprenori locali tineri și/sau femei este mai mare de 10, atunci proiectului i se atribuie 10 puncte.</w:t>
            </w:r>
          </w:p>
          <w:p>
            <w:pPr>
              <w:spacing w:line="360" w:lineRule="auto"/>
              <w:ind w:left="0" w:right="0" w:firstLine="493"/>
            </w:pPr>
            <w:r>
              <w:rPr>
                <w:rFonts w:ascii="Cambria Bold" w:hAnsi="Cambria Bold"/>
                <w:b/>
                <w:sz w:val="24"/>
              </w:rPr>
              <w:t>Doc:</w:t>
            </w:r>
            <w:r>
              <w:rPr>
                <w:rFonts w:ascii="Cambria" w:hAnsi="Cambria"/>
                <w:b w:val="false"/>
                <w:sz w:val="24"/>
              </w:rPr>
              <w:t> CF și/sau SF/MJ, re</w:t>
            </w:r>
            <w:r>
              <w:rPr>
                <w:rFonts w:ascii="Cambria" w:hAnsi="Cambria"/>
                <w:b w:val="false"/>
                <w:sz w:val="24"/>
              </w:rPr>
              <w:t>spectiv Anexa - document justificativ emis de Primărie din care rezultă numărul de antreprenori tineri și/sau femei înregistrați în raza UAT-ului unde va fi implementat proiectul.</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Punctaj</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acordării punctajului</w:t>
            </w:r>
          </w:p>
        </w:tc>
      </w:tr>
      <w:tr>
        <w:trPr/>
        <w:tc>
          <w:tcPr>
            <w:shd w:val="clear" w:color="auto" w:fill="F8ECD2"/>
            <w:vAlign w:val="center"/>
          </w:tcPr>
          <w:p>
            <w:r>
              <w:rPr>
                <w:rFonts w:ascii="Cambria" w:hAnsi="Cambria"/>
                <w:b w:val="false"/>
                <w:color w:val="58400C"/>
                <w:sz w:val="24"/>
              </w:rPr>
              <w:t>CD 1</w:t>
            </w:r>
          </w:p>
        </w:tc>
        <w:tc>
          <w:tcPr>
            <w:shd w:val="clear" w:color="auto" w:fill="F8ECD2"/>
            <w:vAlign w:val="center"/>
          </w:tcPr>
          <w:p>
            <w:r>
              <w:rPr>
                <w:rFonts w:ascii="Cambria" w:hAnsi="Cambria"/>
                <w:b w:val="false"/>
                <w:color w:val="58400C"/>
                <w:sz w:val="24"/>
              </w:rPr>
              <w:t>Prioritizarea proiectelor în funcție de populația deservită - numărul de locuitori la nivel de UAT, în care se realizează investiția.</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în Anexa privind populația la nivel GAL care este numărul populației în UAT-ul sau în UAT-urile pe raza cărora se implementează proiectul. În baza acestui criteriu de departajare proiectele se vor prioritiza în ordine descrescătoare a numărului populației deservite.</w:t>
            </w:r>
          </w:p>
          <w:p>
            <w:pPr>
              <w:spacing w:line="360" w:lineRule="auto"/>
              <w:ind w:left="0" w:right="0" w:firstLine="493"/>
            </w:pPr>
            <w:r>
              <w:rPr>
                <w:rFonts w:ascii="Cambria Bold" w:hAnsi="Cambria Bold"/>
                <w:b/>
                <w:sz w:val="24"/>
              </w:rPr>
              <w:t>Doc:</w:t>
            </w:r>
            <w:r>
              <w:rPr>
                <w:rFonts w:ascii="Cambria" w:hAnsi="Cambria"/>
                <w:b w:val="false"/>
                <w:sz w:val="24"/>
              </w:rPr>
              <w:t>  CF și/sau SF/MJ, respectiv Anexa privind populația la nivel GAL.</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0704412873ab4177" /></Relationships>
</file>