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4acf4aa394d44912"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62</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TECUCI”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SMART VILLAGE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Acțiunile propuse a fi finanțate să fie în conformitate cu conceptul de Smart Village din strategiile locale ale UAT-urilor și ulterior finanțarea a cel puțin unei acțiuni de tip inovare socială, digitală, economie verde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acțiunile propuse prin proiect îndeplinesc următoarele condiții:</w:t>
            </w:r>
          </w:p>
          <w:p>
            <w:pPr>
              <w:spacing w:line="360" w:lineRule="auto"/>
              <w:ind w:left="0" w:right="0" w:firstLine="493"/>
            </w:pPr>
            <w:r>
              <w:rPr>
                <w:rFonts w:ascii="Cambria" w:hAnsi="Cambria"/>
                <w:b w:val="false"/>
                <w:sz w:val="24"/>
              </w:rPr>
              <w:t>- fac parte dintr-o strategie locală;</w:t>
            </w:r>
          </w:p>
          <w:p>
            <w:pPr>
              <w:spacing w:line="360" w:lineRule="auto"/>
              <w:ind w:left="0" w:right="0" w:firstLine="493"/>
            </w:pPr>
            <w:r>
              <w:rPr>
                <w:rFonts w:ascii="Cambria" w:hAnsi="Cambria"/>
                <w:b w:val="false"/>
                <w:sz w:val="24"/>
              </w:rPr>
              <w:t>- cel puțin o acțiune este de tip inovare socială, digitală sau economie verde.</w:t>
            </w:r>
          </w:p>
          <w:p>
            <w:pPr>
              <w:spacing w:line="360" w:lineRule="auto"/>
              <w:ind w:left="0" w:right="0" w:firstLine="493"/>
            </w:pPr>
            <w:r>
              <w:rPr>
                <w:rFonts w:ascii="Cambria" w:hAnsi="Cambria"/>
                <w:b w:val="false"/>
                <w:sz w:val="24"/>
              </w:rPr>
              <w:t>Pentru prima condiție, în cazul asociațiilor și fundațiilor se verifică dacă este specificat în statutul acestora sprijinirea și/sau implementarea acțiunilor propuse prin proiect.</w:t>
            </w:r>
          </w:p>
          <w:p>
            <w:pPr>
              <w:spacing w:line="360" w:lineRule="auto"/>
              <w:ind w:left="0" w:right="0" w:firstLine="493"/>
            </w:pPr>
            <w:r>
              <w:rPr>
                <w:rFonts w:ascii="Cambria Bold" w:hAnsi="Cambria Bold"/>
                <w:b/>
                <w:sz w:val="24"/>
              </w:rPr>
              <w:t>Doc:</w:t>
            </w:r>
            <w:r>
              <w:rPr>
                <w:rFonts w:ascii="Cambria" w:hAnsi="Cambria"/>
                <w:b w:val="false"/>
                <w:sz w:val="24"/>
              </w:rPr>
              <w:t> Cererea de finanțare și extras din Strategia locală/ Statut.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Proiectele trebuie să integreze tehnologii noi sau existente într-un mod inovator pentru îmbunătățirea serviciilor și infrastructurii locale;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face dovada că acțiunile propuse prin proiect au caracter inovator, adică sunt noi (au o vechime mai mică de 3 ani), nu au mai fost implementate în teritoriul de acțiune al solicitantului și se integrează în buna desfășurare a activităților acestuia.</w:t>
            </w:r>
          </w:p>
          <w:p>
            <w:pPr>
              <w:spacing w:line="360" w:lineRule="auto"/>
              <w:ind w:left="0" w:right="0" w:firstLine="493"/>
            </w:pPr>
            <w:r>
              <w:rPr>
                <w:rFonts w:ascii="Cambria Bold" w:hAnsi="Cambria Bold"/>
                <w:b/>
                <w:sz w:val="24"/>
              </w:rPr>
              <w:t>Doc:</w:t>
            </w:r>
            <w:r>
              <w:rPr>
                <w:rFonts w:ascii="Cambria" w:hAnsi="Cambria"/>
                <w:b w:val="false"/>
                <w:sz w:val="24"/>
              </w:rPr>
              <w:t> Cererea de finanțare, document justificativ privind caracterul inovator (adresă primărie, caracteristici tehnice emise de producător etc)</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Inițiativele trebuie să promoveze sustenabilitatea și să includă planuri clare pentru gestionarea eficientă a resurselor</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 solicitantul a explicat sustenabilitatea acțiunilor propuse și are un plan de acțiune privind gestionarea eficientă a resurselor.</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Proiectele ar trebui să propună modalități inovatoare de îmbunătățire a serviciilor publice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cererea de finanțare solicitantul a explicat modul în care acțiunile propuse contribuie la îmbunătățirea calității serviciilor publice.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Beneficiarul se încadrează în categoria beneficiarilor eligibili. Tipul de beneficiar constituit sub forma Parteneriatului informal va fi compus din minim doi parteneri din categoriile menționate în cadrul secțiunii beneficiari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conformitatea informațiilor menționate în Cererea de</w:t>
            </w:r>
          </w:p>
          <w:p>
            <w:pPr>
              <w:spacing w:line="360" w:lineRule="auto"/>
              <w:ind w:left="0" w:right="0" w:firstLine="493"/>
            </w:pPr>
            <w:r>
              <w:rPr>
                <w:rFonts w:ascii="Cambria" w:hAnsi="Cambria"/>
                <w:b w:val="false"/>
                <w:sz w:val="24"/>
              </w:rPr>
              <w:t>finanțare cu informațiile din documentele prezentate, în funcție de</w:t>
            </w:r>
          </w:p>
          <w:p>
            <w:pPr>
              <w:spacing w:line="360" w:lineRule="auto"/>
              <w:ind w:left="0" w:right="0" w:firstLine="493"/>
            </w:pPr>
            <w:r>
              <w:rPr>
                <w:rFonts w:ascii="Cambria" w:hAnsi="Cambria"/>
                <w:b w:val="false"/>
                <w:sz w:val="24"/>
              </w:rPr>
              <w:t>categoria de beneficiari.</w:t>
            </w:r>
          </w:p>
          <w:p>
            <w:pPr>
              <w:spacing w:line="360" w:lineRule="auto"/>
              <w:ind w:left="0" w:right="0" w:firstLine="493"/>
            </w:pPr>
            <w:r>
              <w:rPr>
                <w:rFonts w:ascii="Cambria" w:hAnsi="Cambria"/>
                <w:b w:val="false"/>
                <w:sz w:val="24"/>
              </w:rPr>
              <w:t>În cazul în care solicitantul este Parteneriat informal se verifică dacă este compus din minim doi parteneri din celelalte categorii menționate în cadrul secțiunii „Beneficiari eligibili”.</w:t>
            </w:r>
          </w:p>
          <w:p>
            <w:pPr>
              <w:spacing w:line="360" w:lineRule="auto"/>
              <w:ind w:left="0" w:right="0" w:firstLine="493"/>
            </w:pPr>
            <w:r>
              <w:rPr>
                <w:rFonts w:ascii="Cambria" w:hAnsi="Cambria"/>
                <w:b w:val="false"/>
                <w:sz w:val="24"/>
              </w:rPr>
              <w:t>Doc: Cererea de finanțare, respectiv documente de înființare: Certificat de Înregistrare Fiscală/ Act înființare și statut ADI, HCL desemnare reprezentant legal, respectiv Acord de parteneriat.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Beneficiarul să nu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solicitantul își asumă prin semnătură secțiunea F - „Declarație pe propria răspundere a solicitantului” din Cererea de finanțare.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Beneficiarul să aibă sediul social și/sau punctul de lucru în teritoriul Asociației GAL Tecuci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are sediul social și/sau punctul de lucru într-un UAT care se află pe teritoriul GAL Tecuci. Se verifică dacă informațiile privind sediul social și/sau punctul de lucru al beneficiarului menționate în Cererea de finanțare corespund cu cele menționate în documentele justificative, în funcție de categoria de beneficiari.</w:t>
            </w:r>
          </w:p>
          <w:p>
            <w:pPr>
              <w:spacing w:line="360" w:lineRule="auto"/>
              <w:ind w:left="0" w:right="0" w:firstLine="493"/>
            </w:pPr>
            <w:r>
              <w:rPr>
                <w:rFonts w:ascii="Cambria" w:hAnsi="Cambria"/>
                <w:b w:val="false"/>
                <w:sz w:val="24"/>
              </w:rPr>
              <w:t>Doc: Cererea de finanțare, CIF/ Act înființare și statut/Lista UAT-urilor din Anexa 4.</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Investiția să se încadreze în tipul de sprijin prevăzut prin intervenție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modelul de cerere de finanțare folosit este adaptat pentru tipul de sprijin prevăzut prin intervenție: rambursarea costurilor eligibile efectiv suportate de către beneficiar.  Se verifică dacă solicitantul a completat secțiunea 2.1 din cererea de finanțare cu explicația privind tipul de sprijin.</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Beneficiarul va respecta condițiile de eligibilitate și selecție pe toată perioada de monitorizare care va fi de minim 5 ani de ultima tranșă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solicitantul și-a însușit prin</w:t>
            </w:r>
          </w:p>
          <w:p>
            <w:pPr>
              <w:spacing w:line="360" w:lineRule="auto"/>
              <w:ind w:left="0" w:right="0" w:firstLine="493"/>
            </w:pPr>
            <w:r>
              <w:rPr>
                <w:rFonts w:ascii="Cambria" w:hAnsi="Cambria"/>
                <w:b w:val="false"/>
                <w:sz w:val="24"/>
              </w:rPr>
              <w:t>semnătură prevederile punctului 2 din Declarația F din Cererea de</w:t>
            </w:r>
          </w:p>
          <w:p>
            <w:pPr>
              <w:spacing w:line="360" w:lineRule="auto"/>
              <w:ind w:left="0" w:right="0" w:firstLine="493"/>
            </w:pPr>
            <w:r>
              <w:rPr>
                <w:rFonts w:ascii="Cambria" w:hAnsi="Cambria"/>
                <w:b w:val="false"/>
                <w:sz w:val="24"/>
              </w:rPr>
              <w:t>finanțare.</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Solicitarea de finanțare se încadrează în valoarea maximă a sprijinului specificată în fișa intervenției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valoarea eligibilă a proiectului</w:t>
            </w:r>
          </w:p>
          <w:p>
            <w:pPr>
              <w:spacing w:line="360" w:lineRule="auto"/>
              <w:ind w:left="0" w:right="0" w:firstLine="493"/>
            </w:pPr>
            <w:r>
              <w:rPr>
                <w:rFonts w:ascii="Cambria" w:hAnsi="Cambria"/>
                <w:b w:val="false"/>
                <w:sz w:val="24"/>
              </w:rPr>
              <w:t>specificată în Cererea de finanțare nu depășește valoarea maximă de</w:t>
            </w:r>
          </w:p>
          <w:p>
            <w:pPr>
              <w:spacing w:line="360" w:lineRule="auto"/>
              <w:ind w:left="0" w:right="0" w:firstLine="493"/>
            </w:pPr>
            <w:r>
              <w:rPr>
                <w:rFonts w:ascii="Cambria" w:hAnsi="Cambria"/>
                <w:b w:val="false"/>
                <w:sz w:val="24"/>
              </w:rPr>
              <w:t>100.000 euro. Această valoare, prevăzută în prezentul ghid la secțiunea</w:t>
            </w:r>
          </w:p>
          <w:p>
            <w:pPr>
              <w:spacing w:line="360" w:lineRule="auto"/>
              <w:ind w:left="0" w:right="0" w:firstLine="493"/>
            </w:pPr>
            <w:r>
              <w:rPr>
                <w:rFonts w:ascii="Cambria" w:hAnsi="Cambria"/>
                <w:b w:val="false"/>
                <w:sz w:val="24"/>
              </w:rPr>
              <w:t>privind valoarea maximă a unui proiect, este mai mică decât valoarea</w:t>
            </w:r>
          </w:p>
          <w:p>
            <w:pPr>
              <w:spacing w:line="360" w:lineRule="auto"/>
              <w:ind w:left="0" w:right="0" w:firstLine="493"/>
            </w:pPr>
            <w:r>
              <w:rPr>
                <w:rFonts w:ascii="Cambria" w:hAnsi="Cambria"/>
                <w:b w:val="false"/>
                <w:sz w:val="24"/>
              </w:rPr>
              <w:t>maximă a sprijinului specificată în fișa intervenției.</w:t>
            </w:r>
          </w:p>
          <w:p>
            <w:pPr>
              <w:spacing w:line="360" w:lineRule="auto"/>
              <w:ind w:left="0" w:right="0" w:firstLine="493"/>
            </w:pPr>
            <w:r>
              <w:rPr>
                <w:rFonts w:ascii="Cambria" w:hAnsi="Cambria"/>
                <w:b w:val="false"/>
                <w:sz w:val="24"/>
              </w:rPr>
              <w:t>Doc: Cererea de finanțare, Fișa intervenției nr. 2 (Anexa 2).</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În cazul investițiilor finanțate prin SDL rata maximă a sprijinului se limitează la 100% în cazul investițiilor neproductive (care nu generează avantaj economic)</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se consideră îndeplinit dacă rata sprijinului prevăzută în Cererea de finanțare este limitată la 100% din valoarea cheltuielilor eligibile. Această valoare este stipulată și în secțiunea privind valoarea maximă a a unui proiect.</w:t>
            </w:r>
          </w:p>
          <w:p>
            <w:pPr>
              <w:spacing w:line="360" w:lineRule="auto"/>
              <w:ind w:left="0" w:right="0" w:firstLine="493"/>
            </w:pPr>
            <w:r>
              <w:rPr>
                <w:rFonts w:ascii="Cambria" w:hAnsi="Cambria"/>
                <w:b w:val="false"/>
                <w:sz w:val="24"/>
              </w:rPr>
              <w:t>Doc: Cererea de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proiectelor care demonstrează cum vor îmbunătăți accesul la servicii și participarea comunităților marginalizate, inclusiv tineretul, femeile;</w:t>
            </w:r>
          </w:p>
          <w:p>
            <w:pPr>
              <w:spacing w:line="360" w:lineRule="auto"/>
              <w:ind w:left="0" w:right="0" w:firstLine="493"/>
            </w:pPr>
            <w:r>
              <w:rPr>
                <w:rFonts w:ascii="Cambria Bold" w:hAnsi="Cambria Bold"/>
                <w:b/>
                <w:color w:val="014935"/>
                <w:sz w:val="24"/>
              </w:rPr>
              <w:t>Notă: Punctajul va fi obținut prin cumularea CS1.1 și CS1.2.</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CS1.1</w:t>
            </w:r>
          </w:p>
        </w:tc>
        <w:tc>
          <w:tcPr>
            <w:shd w:val="clear" w:color="auto" w:fill="F8ECD2"/>
            <w:vAlign w:val="center"/>
          </w:tcPr>
          <w:p>
            <w:r>
              <w:rPr>
                <w:rFonts w:ascii="Cambria" w:hAnsi="Cambria"/>
                <w:b w:val="false"/>
                <w:color w:val="58400C"/>
                <w:sz w:val="24"/>
              </w:rPr>
              <w:t>Prioritizarea proiectelor care demonstrează cum vor îmbunătăți accesul la servicii pentru comunitățile marginalizate </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cel puțin una dintre acțiunile propuse prin proiect se adresează persoanelor marginalizate (persoane cu handicap, vârstnici etc).</w:t>
            </w:r>
          </w:p>
          <w:p>
            <w:pPr>
              <w:spacing w:line="360" w:lineRule="auto"/>
              <w:ind w:left="0" w:right="0" w:firstLine="493"/>
            </w:pPr>
            <w:r>
              <w:rPr>
                <w:rFonts w:ascii="Cambria" w:hAnsi="Cambria"/>
                <w:b w:val="false"/>
                <w:sz w:val="24"/>
              </w:rPr>
              <w:t>Exemple: treceri de pietoni smart, emiterea documentelor online etc.</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CS1.2</w:t>
            </w:r>
          </w:p>
        </w:tc>
        <w:tc>
          <w:tcPr>
            <w:shd w:val="clear" w:color="auto" w:fill="F8ECD2"/>
            <w:vAlign w:val="center"/>
          </w:tcPr>
          <w:p>
            <w:r>
              <w:rPr>
                <w:rFonts w:ascii="Cambria" w:hAnsi="Cambria"/>
                <w:b w:val="false"/>
                <w:color w:val="58400C"/>
                <w:sz w:val="24"/>
              </w:rPr>
              <w:t>Prioritizarea proiectelor care demonstrează cum vor îmbunătăți accesul la servicii pentru tineret și femei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cel puțin una dintre acțiunile propuse prin proiect se adresează tineretului și/sau femeilor.</w:t>
            </w:r>
          </w:p>
          <w:p>
            <w:pPr>
              <w:spacing w:line="360" w:lineRule="auto"/>
              <w:ind w:left="0" w:right="0" w:firstLine="493"/>
            </w:pPr>
            <w:r>
              <w:rPr>
                <w:rFonts w:ascii="Cambria" w:hAnsi="Cambria"/>
                <w:b w:val="false"/>
                <w:sz w:val="24"/>
              </w:rPr>
              <w:t>Exemple: platforme de atragere a investițiilor, centre de inovare locală etc</w:t>
            </w:r>
          </w:p>
          <w:p>
            <w:pPr>
              <w:spacing w:line="360" w:lineRule="auto"/>
              <w:ind w:left="0" w:right="0" w:firstLine="493"/>
            </w:pPr>
            <w:r>
              <w:rPr>
                <w:rFonts w:ascii="Cambria Bold" w:hAnsi="Cambria Bold"/>
                <w:b/>
                <w:sz w:val="24"/>
              </w:rPr>
              <w:t>Doc:</w:t>
            </w:r>
            <w:r>
              <w:rPr>
                <w:rFonts w:ascii="Cambria" w:hAnsi="Cambria"/>
                <w:b w:val="false"/>
                <w:sz w:val="24"/>
              </w:rPr>
              <w:t>  Cererea de finanțare.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p>
          <w:p>
            <w:pPr>
              <w:spacing w:line="360" w:lineRule="auto"/>
              <w:ind w:left="0" w:right="0" w:firstLine="493"/>
            </w:pPr>
            <w:r>
              <w:rPr>
                <w:rFonts w:ascii="Cambria Bold" w:hAnsi="Cambria Bold"/>
                <w:b/>
                <w:color w:val="014935"/>
                <w:sz w:val="24"/>
              </w:rPr>
              <w:t>Prioritizarea proiectele care vizează dezvoltarea de noi forme de furnizare a serviciilor locale cum ar fi: </w:t>
            </w:r>
          </w:p>
          <w:p>
            <w:pPr>
              <w:spacing w:line="360" w:lineRule="auto"/>
              <w:ind w:left="0" w:right="0" w:firstLine="493"/>
            </w:pPr>
            <w:r>
              <w:rPr>
                <w:rFonts w:ascii="Cambria Bold" w:hAnsi="Cambria Bold"/>
                <w:b/>
                <w:color w:val="014935"/>
                <w:sz w:val="24"/>
              </w:rPr>
              <w:t>Notă: Punctajul va fi obținut prin cumularea CS2.1, CS2.2 și CS2.3.</w:t>
            </w:r>
          </w:p>
        </w:tc>
        <w:tc>
          <w:tcPr>
            <w:shd w:val="clear" w:color="auto" w:fill="CCE1DB"/>
            <w:vAlign w:val="center"/>
          </w:tcPr>
          <w:p>
            <w:pPr>
              <w:spacing w:line="360" w:lineRule="auto"/>
              <w:ind w:left="0" w:right="0" w:firstLine="493"/>
            </w:pPr>
            <w:r>
              <w:rPr>
                <w:rFonts w:ascii="Cambria Bold" w:hAnsi="Cambria Bold"/>
                <w:b/>
                <w:color w:val="014935"/>
                <w:sz w:val="24"/>
              </w:rPr>
              <w:t>60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CS2.1</w:t>
            </w:r>
          </w:p>
        </w:tc>
        <w:tc>
          <w:tcPr>
            <w:shd w:val="clear" w:color="auto" w:fill="F8ECD2"/>
            <w:vAlign w:val="center"/>
          </w:tcPr>
          <w:p>
            <w:pPr>
              <w:spacing w:line="360" w:lineRule="auto"/>
              <w:ind w:left="0" w:right="0" w:firstLine="493"/>
            </w:pPr>
            <w:r>
              <w:rPr>
                <w:rFonts w:ascii="Cambria" w:hAnsi="Cambria"/>
                <w:b w:val="false"/>
                <w:color w:val="58400C"/>
                <w:sz w:val="24"/>
              </w:rPr>
              <w:t>Furnizarea integrată a serviciilor, inclusiv:</w:t>
            </w:r>
          </w:p>
          <w:p>
            <w:pPr>
              <w:spacing w:line="360" w:lineRule="auto"/>
              <w:ind w:left="0" w:right="0" w:firstLine="493"/>
            </w:pPr>
            <w:r>
              <w:rPr>
                <w:rFonts w:ascii="Cambria" w:hAnsi="Cambria"/>
                <w:b w:val="false"/>
                <w:color w:val="58400C"/>
                <w:sz w:val="24"/>
              </w:rPr>
              <w:t>- co-amplasarea unor servicii într-o singură clădire sau spațiu;</w:t>
            </w:r>
          </w:p>
          <w:p>
            <w:pPr>
              <w:spacing w:line="360" w:lineRule="auto"/>
              <w:ind w:left="0" w:right="0" w:firstLine="493"/>
            </w:pPr>
            <w:r>
              <w:rPr>
                <w:rFonts w:ascii="Cambria" w:hAnsi="Cambria"/>
                <w:b w:val="false"/>
                <w:color w:val="58400C"/>
                <w:sz w:val="24"/>
              </w:rPr>
              <w:t>- colaborarea între furnizorii de servicii în termeni de informații, gestionare, instruire;</w:t>
            </w:r>
          </w:p>
          <w:p>
            <w:pPr>
              <w:spacing w:line="360" w:lineRule="auto"/>
              <w:ind w:left="0" w:right="0" w:firstLine="493"/>
            </w:pPr>
            <w:r>
              <w:rPr>
                <w:rFonts w:ascii="Cambria" w:hAnsi="Cambria"/>
                <w:b w:val="false"/>
                <w:color w:val="58400C"/>
                <w:sz w:val="24"/>
              </w:rPr>
              <w:t>- cooperarea între echipele de experți pentru a oferi servicii comune;</w:t>
            </w:r>
          </w:p>
          <w:p>
            <w:pPr>
              <w:spacing w:line="360" w:lineRule="auto"/>
              <w:ind w:left="0" w:right="0" w:firstLine="493"/>
            </w:pPr>
            <w:r>
              <w:rPr>
                <w:rFonts w:ascii="Cambria" w:hAnsi="Cambria"/>
                <w:b w:val="false"/>
                <w:color w:val="58400C"/>
                <w:sz w:val="24"/>
              </w:rPr>
              <w:t>- co-producere între organizațiile publice, private și comunitare și în special soluții bazate pe comunitate;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una sau mai multe activități care să asigure furnizarea integrată a serviciilor locale, cum ar fi: co-amplasarea unor servicii într-o singură clădire sau spațiu; colaborarea între furnizorii de servicii în termeni de informații, gestionare, instruire; cooperarea între echipele de experți pentru a oferi servicii comune; respectiv co-producere între organizațiile publice, private și comunitare și în special soluții bazate pe comunitate;</w:t>
            </w:r>
          </w:p>
          <w:p>
            <w:pPr>
              <w:spacing w:line="360" w:lineRule="auto"/>
              <w:ind w:left="0" w:right="0" w:firstLine="493"/>
            </w:pPr>
            <w:r>
              <w:rPr>
                <w:rFonts w:ascii="Cambria" w:hAnsi="Cambria"/>
                <w:b w:val="false"/>
                <w:sz w:val="24"/>
              </w:rPr>
              <w:t>Doc: Cererea de finanțare, secțiunea E2.2</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CS2.2</w:t>
            </w:r>
          </w:p>
        </w:tc>
        <w:tc>
          <w:tcPr>
            <w:shd w:val="clear" w:color="auto" w:fill="F8ECD2"/>
            <w:vAlign w:val="center"/>
          </w:tcPr>
          <w:p>
            <w:pPr>
              <w:spacing w:line="360" w:lineRule="auto"/>
              <w:ind w:left="0" w:right="0" w:firstLine="493"/>
            </w:pPr>
            <w:r>
              <w:rPr>
                <w:rFonts w:ascii="Cambria" w:hAnsi="Cambria"/>
                <w:b w:val="false"/>
                <w:color w:val="58400C"/>
                <w:sz w:val="24"/>
              </w:rPr>
              <w:t>Abordări alternative și mai flexibile, inclusiv:</w:t>
            </w:r>
          </w:p>
          <w:p>
            <w:pPr>
              <w:spacing w:line="360" w:lineRule="auto"/>
              <w:ind w:left="0" w:right="0" w:firstLine="493"/>
            </w:pPr>
            <w:r>
              <w:rPr>
                <w:rFonts w:ascii="Cambria" w:hAnsi="Cambria"/>
                <w:b w:val="false"/>
                <w:color w:val="58400C"/>
                <w:sz w:val="24"/>
              </w:rPr>
              <w:t>- servicii mobile - aducerea serviciilor către oameni;</w:t>
            </w:r>
          </w:p>
          <w:p>
            <w:pPr>
              <w:spacing w:line="360" w:lineRule="auto"/>
              <w:ind w:left="0" w:right="0" w:firstLine="493"/>
            </w:pPr>
            <w:r>
              <w:rPr>
                <w:rFonts w:ascii="Cambria" w:hAnsi="Cambria"/>
                <w:b w:val="false"/>
                <w:color w:val="58400C"/>
                <w:sz w:val="24"/>
              </w:rPr>
              <w:t>- servicii noi și îmbunătățite adaptate nevoilor locale (calitate, marketing, crearea de noi abordări pentru servicii);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una sau mai multe activități care să asigure abordări alternative și mai flexibile a serviciilor locale, cum ar fi: servicii mobile; servicii noi și îmbunătățite adaptate nevoilor locale etc.</w:t>
            </w:r>
          </w:p>
          <w:p>
            <w:pPr>
              <w:spacing w:line="360" w:lineRule="auto"/>
              <w:ind w:left="0" w:right="0" w:firstLine="493"/>
            </w:pPr>
            <w:r>
              <w:rPr>
                <w:rFonts w:ascii="Cambria Bold" w:hAnsi="Cambria Bold"/>
                <w:b/>
                <w:sz w:val="24"/>
              </w:rPr>
              <w:t>Doc:</w:t>
            </w:r>
            <w:r>
              <w:rPr>
                <w:rFonts w:ascii="Cambria" w:hAnsi="Cambria"/>
                <w:b w:val="false"/>
                <w:sz w:val="24"/>
              </w:rPr>
              <w:t>  Cererea de finanțare, secțiunea E2.2</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CS2.3</w:t>
            </w:r>
          </w:p>
        </w:tc>
        <w:tc>
          <w:tcPr>
            <w:shd w:val="clear" w:color="auto" w:fill="F8ECD2"/>
            <w:vAlign w:val="center"/>
          </w:tcPr>
          <w:p>
            <w:r>
              <w:rPr>
                <w:rFonts w:ascii="Cambria" w:hAnsi="Cambria"/>
                <w:b w:val="false"/>
                <w:color w:val="58400C"/>
                <w:sz w:val="24"/>
              </w:rPr>
              <w:t>Soluții digitale pentru furnizarea de servicii publice inovatoare în context local, cum ar fi: soluții și sisteme e-health, educație online, soluții privind mobilitatea, utilizarea energiei verzi.</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se consideră îndeplinit dacă solicitantul își propune prin proiect soluții </w:t>
            </w:r>
            <w:r>
              <w:rPr>
                <w:rFonts w:ascii="Cambria" w:hAnsi="Cambria"/>
                <w:b w:val="false"/>
                <w:sz w:val="24"/>
              </w:rPr>
              <w:t>digitale pentru furnizarea de servicii publice inovatoare în context local, cum ar fi: soluții și sisteme e-health, educație online, soluții privind mobilitatea, utilizarea energiei verzi</w:t>
            </w:r>
          </w:p>
          <w:p>
            <w:pPr>
              <w:spacing w:line="360" w:lineRule="auto"/>
              <w:ind w:left="0" w:right="0" w:firstLine="493"/>
            </w:pPr>
            <w:r>
              <w:rPr>
                <w:rFonts w:ascii="Cambria Bold" w:hAnsi="Cambria Bold"/>
                <w:b/>
                <w:sz w:val="24"/>
              </w:rPr>
              <w:t>Doc:</w:t>
            </w:r>
            <w:r>
              <w:rPr>
                <w:rFonts w:ascii="Cambria" w:hAnsi="Cambria"/>
                <w:b w:val="false"/>
                <w:sz w:val="24"/>
              </w:rPr>
              <w:t>  Cererea de finanțare, secțiunea E2.2</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CD1</w:t>
            </w:r>
          </w:p>
        </w:tc>
        <w:tc>
          <w:tcPr>
            <w:shd w:val="clear" w:color="auto" w:fill="F8ECD2"/>
            <w:vAlign w:val="center"/>
          </w:tcPr>
          <w:p>
            <w:r>
              <w:rPr>
                <w:rFonts w:ascii="Cambria" w:hAnsi="Cambria"/>
                <w:b w:val="false"/>
                <w:color w:val="58400C"/>
                <w:sz w:val="24"/>
              </w:rPr>
              <w:t>Prioritizarea proiectelor în funcție de populația deservită - numărul de locuitori la nivel de UAT, în care se realizează investiția.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Se verifică în Anexa privind populația la nivel GAL care este numărul populației în UAT-ul sau în UAT-urile pe raza cărora se implementează proiectul. În baza acestui criteriu de departajare proiectele se vor prioritiza în ordine descrescătoare a numărului populației deservite.Doc: CF și Anexa 4 (populația la nivel GAL).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a04cc10d0824b15" /></Relationships>
</file>